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22CD" w:rsidRPr="00B522CD" w:rsidRDefault="00B522CD">
      <w:pPr>
        <w:rPr>
          <w:sz w:val="32"/>
        </w:rPr>
      </w:pPr>
      <w:r w:rsidRPr="00B522CD">
        <w:rPr>
          <w:sz w:val="36"/>
        </w:rPr>
        <w:t xml:space="preserve">Medienkompetenzrahmen NRW </w:t>
      </w:r>
      <w:r w:rsidRPr="00B522CD">
        <w:rPr>
          <w:sz w:val="32"/>
        </w:rPr>
        <w:t>- aufbereitet zum Eintragen eigener Unterrichtsinhalte und -beispiele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520"/>
        <w:gridCol w:w="2520"/>
        <w:gridCol w:w="2520"/>
        <w:gridCol w:w="2520"/>
        <w:gridCol w:w="2523"/>
        <w:gridCol w:w="2523"/>
      </w:tblGrid>
      <w:tr w:rsidR="00B522CD" w:rsidRPr="00AC2B64" w:rsidTr="00635994">
        <w:trPr>
          <w:trHeight w:val="263"/>
        </w:trPr>
        <w:tc>
          <w:tcPr>
            <w:tcW w:w="833" w:type="pct"/>
            <w:shd w:val="clear" w:color="auto" w:fill="92D050"/>
          </w:tcPr>
          <w:p w:rsidR="00B522CD" w:rsidRPr="00AC2B64" w:rsidRDefault="00B522CD" w:rsidP="00635994">
            <w:pPr>
              <w:pStyle w:val="Default"/>
              <w:rPr>
                <w:rFonts w:asciiTheme="minorHAnsi" w:hAnsiTheme="minorHAnsi"/>
                <w:bCs/>
                <w:color w:val="FFFFFF" w:themeColor="background1"/>
              </w:rPr>
            </w:pPr>
            <w:r w:rsidRPr="00AC2B64">
              <w:rPr>
                <w:rFonts w:asciiTheme="minorHAnsi" w:hAnsiTheme="minorHAnsi"/>
                <w:color w:val="FFFFFF" w:themeColor="background1"/>
              </w:rPr>
              <w:t>1. Bedienen und Anwenden</w:t>
            </w:r>
          </w:p>
        </w:tc>
        <w:tc>
          <w:tcPr>
            <w:tcW w:w="833" w:type="pct"/>
            <w:shd w:val="clear" w:color="auto" w:fill="00B0F0"/>
          </w:tcPr>
          <w:p w:rsidR="00B522CD" w:rsidRPr="00AC2B64" w:rsidRDefault="00B522CD" w:rsidP="00635994">
            <w:pPr>
              <w:pStyle w:val="Default"/>
              <w:rPr>
                <w:rFonts w:asciiTheme="minorHAnsi" w:hAnsiTheme="minorHAnsi"/>
                <w:color w:val="FFFFFF" w:themeColor="background1"/>
              </w:rPr>
            </w:pPr>
            <w:r w:rsidRPr="00AC2B64">
              <w:rPr>
                <w:rFonts w:asciiTheme="minorHAnsi" w:hAnsiTheme="minorHAnsi"/>
                <w:color w:val="FFFFFF" w:themeColor="background1"/>
              </w:rPr>
              <w:t>2. Informieren und Recherchieren</w:t>
            </w:r>
          </w:p>
        </w:tc>
        <w:tc>
          <w:tcPr>
            <w:tcW w:w="833" w:type="pct"/>
            <w:shd w:val="clear" w:color="auto" w:fill="0070C0"/>
          </w:tcPr>
          <w:p w:rsidR="00B522CD" w:rsidRPr="00AC2B64" w:rsidRDefault="00B522CD" w:rsidP="00635994">
            <w:pPr>
              <w:pStyle w:val="Default"/>
              <w:rPr>
                <w:rFonts w:asciiTheme="minorHAnsi" w:hAnsiTheme="minorHAnsi"/>
                <w:color w:val="FFFFFF" w:themeColor="background1"/>
              </w:rPr>
            </w:pPr>
            <w:r w:rsidRPr="00AC2B64">
              <w:rPr>
                <w:rFonts w:asciiTheme="minorHAnsi" w:hAnsiTheme="minorHAnsi"/>
                <w:color w:val="FFFFFF" w:themeColor="background1"/>
              </w:rPr>
              <w:t>3. Kommunizieren und Kooperieren</w:t>
            </w:r>
          </w:p>
        </w:tc>
        <w:tc>
          <w:tcPr>
            <w:tcW w:w="833" w:type="pct"/>
            <w:shd w:val="clear" w:color="auto" w:fill="F10DE1"/>
          </w:tcPr>
          <w:p w:rsidR="00B522CD" w:rsidRPr="00AC2B64" w:rsidRDefault="00B522CD" w:rsidP="00635994">
            <w:pPr>
              <w:pStyle w:val="Default"/>
              <w:rPr>
                <w:rFonts w:asciiTheme="minorHAnsi" w:hAnsiTheme="minorHAnsi"/>
                <w:color w:val="FFFFFF" w:themeColor="background1"/>
              </w:rPr>
            </w:pPr>
            <w:r w:rsidRPr="00AC2B64">
              <w:rPr>
                <w:rFonts w:asciiTheme="minorHAnsi" w:hAnsiTheme="minorHAnsi"/>
                <w:color w:val="FFFFFF" w:themeColor="background1"/>
              </w:rPr>
              <w:t>4. Produzieren und Präsentieren</w:t>
            </w:r>
          </w:p>
        </w:tc>
        <w:tc>
          <w:tcPr>
            <w:tcW w:w="834" w:type="pct"/>
            <w:shd w:val="clear" w:color="auto" w:fill="FF0000"/>
          </w:tcPr>
          <w:p w:rsidR="00B522CD" w:rsidRPr="00AC2B64" w:rsidRDefault="00B522CD" w:rsidP="00635994">
            <w:pPr>
              <w:pStyle w:val="Default"/>
              <w:rPr>
                <w:rFonts w:asciiTheme="minorHAnsi" w:hAnsiTheme="minorHAnsi"/>
                <w:bCs/>
                <w:color w:val="FFFFFF" w:themeColor="background1"/>
              </w:rPr>
            </w:pPr>
            <w:r w:rsidRPr="00AC2B64">
              <w:rPr>
                <w:rFonts w:asciiTheme="minorHAnsi" w:hAnsiTheme="minorHAnsi"/>
                <w:color w:val="FFFFFF" w:themeColor="background1"/>
              </w:rPr>
              <w:t>5. Analysieren und Reflektieren</w:t>
            </w:r>
          </w:p>
        </w:tc>
        <w:tc>
          <w:tcPr>
            <w:tcW w:w="834" w:type="pct"/>
            <w:shd w:val="clear" w:color="auto" w:fill="FFC000"/>
          </w:tcPr>
          <w:p w:rsidR="00B522CD" w:rsidRPr="00AC2B64" w:rsidRDefault="00B522CD" w:rsidP="00635994">
            <w:pPr>
              <w:pStyle w:val="Default"/>
              <w:rPr>
                <w:rFonts w:asciiTheme="minorHAnsi" w:hAnsiTheme="minorHAnsi"/>
                <w:color w:val="FFFFFF" w:themeColor="background1"/>
              </w:rPr>
            </w:pPr>
            <w:r w:rsidRPr="00AC2B64">
              <w:rPr>
                <w:rFonts w:asciiTheme="minorHAnsi" w:hAnsiTheme="minorHAnsi"/>
                <w:color w:val="FFFFFF" w:themeColor="background1"/>
              </w:rPr>
              <w:t>6. Problemlösen und Modellieren</w:t>
            </w:r>
          </w:p>
        </w:tc>
      </w:tr>
      <w:tr w:rsidR="00B522CD" w:rsidRPr="00C92665" w:rsidTr="00635994">
        <w:trPr>
          <w:trHeight w:val="183"/>
        </w:trPr>
        <w:tc>
          <w:tcPr>
            <w:tcW w:w="833" w:type="pct"/>
            <w:shd w:val="clear" w:color="auto" w:fill="D4ECBA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1.1 Medienausstattung (Hardware)</w:t>
            </w:r>
          </w:p>
        </w:tc>
        <w:tc>
          <w:tcPr>
            <w:tcW w:w="833" w:type="pct"/>
            <w:shd w:val="clear" w:color="auto" w:fill="79DCFF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2.1 Informationsrecherche</w:t>
            </w:r>
          </w:p>
        </w:tc>
        <w:tc>
          <w:tcPr>
            <w:tcW w:w="833" w:type="pct"/>
            <w:shd w:val="clear" w:color="auto" w:fill="7F9ED7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3.1 Kommunikations- und Kooperationsprozesse</w:t>
            </w:r>
          </w:p>
        </w:tc>
        <w:tc>
          <w:tcPr>
            <w:tcW w:w="833" w:type="pct"/>
            <w:shd w:val="clear" w:color="auto" w:fill="F87CEF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4.1 Medienproduktion und -präsentation</w:t>
            </w:r>
          </w:p>
        </w:tc>
        <w:tc>
          <w:tcPr>
            <w:tcW w:w="834" w:type="pct"/>
            <w:shd w:val="clear" w:color="auto" w:fill="FF7D7D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5.1 Medienanalyse</w:t>
            </w:r>
          </w:p>
        </w:tc>
        <w:tc>
          <w:tcPr>
            <w:tcW w:w="834" w:type="pct"/>
            <w:shd w:val="clear" w:color="auto" w:fill="FFE389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6.1 Prinzipien der digitalen Welt</w:t>
            </w:r>
          </w:p>
        </w:tc>
      </w:tr>
      <w:tr w:rsidR="00B522CD" w:rsidRPr="00C92665" w:rsidTr="00635994">
        <w:trPr>
          <w:trHeight w:val="1701"/>
        </w:trPr>
        <w:tc>
          <w:tcPr>
            <w:tcW w:w="833" w:type="pct"/>
          </w:tcPr>
          <w:p w:rsidR="00B522CD" w:rsidRPr="00364750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Medienausstattung (Hardware) kennen, auswählen und reflektiert anwenden; mit dieser verantwortungsvoll umgehen</w:t>
            </w:r>
          </w:p>
        </w:tc>
        <w:tc>
          <w:tcPr>
            <w:tcW w:w="833" w:type="pct"/>
          </w:tcPr>
          <w:p w:rsidR="00B522CD" w:rsidRPr="0077413F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Informationsrecherchen zielgerichtet durchführen und dabei Suchstrategien anwend</w:t>
            </w:r>
            <w:r>
              <w:rPr>
                <w:rFonts w:asciiTheme="minorHAnsi" w:hAnsiTheme="minorHAnsi"/>
                <w:color w:val="auto"/>
                <w:sz w:val="19"/>
                <w:szCs w:val="19"/>
              </w:rPr>
              <w:t>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Kommunikations- und Kooperationsprozesse mit digitalen Werkzeugen zielgerichtet gestalten sowie mediale Produkte und Informationen teilen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sz w:val="19"/>
                <w:szCs w:val="19"/>
              </w:rPr>
            </w:pPr>
            <w:r w:rsidRPr="00C92665">
              <w:rPr>
                <w:rFonts w:cs="Calibri"/>
                <w:sz w:val="19"/>
                <w:szCs w:val="19"/>
                <w:u w:color="0070C0"/>
              </w:rPr>
              <w:t>Medienprodukte</w:t>
            </w:r>
            <w:r w:rsidRPr="00C92665">
              <w:rPr>
                <w:rFonts w:cs="Calibri"/>
                <w:sz w:val="19"/>
                <w:szCs w:val="19"/>
                <w:u w:color="00B050"/>
              </w:rPr>
              <w:t xml:space="preserve"> adressatengerecht planen, </w:t>
            </w:r>
            <w:r w:rsidRPr="00C92665">
              <w:rPr>
                <w:rFonts w:cs="Calibri"/>
                <w:sz w:val="19"/>
                <w:szCs w:val="19"/>
                <w:u w:color="FF0000"/>
              </w:rPr>
              <w:t>gestalten</w:t>
            </w:r>
            <w:r w:rsidRPr="00C92665">
              <w:rPr>
                <w:rFonts w:cs="Calibri"/>
                <w:sz w:val="19"/>
                <w:szCs w:val="19"/>
                <w:u w:color="00B050"/>
              </w:rPr>
              <w:t xml:space="preserve"> und präsentieren; </w:t>
            </w:r>
            <w:r w:rsidRPr="00C92665">
              <w:rPr>
                <w:rFonts w:cstheme="minorHAnsi"/>
                <w:sz w:val="19"/>
                <w:szCs w:val="19"/>
              </w:rPr>
              <w:t>Möglichkeiten des Veröffentlichens und Teilens kennen und nutzen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  <w:u w:color="00B050"/>
              </w:rPr>
              <w:t>Die Vielfalt der Medien, ihre Entwicklung und Bedeutungen kennen, analysieren und reflektieren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Grundlegende Prinzipien und Funktionsweisen der digitalen Welt identifizieren, kennen, verstehen und bewusst nutzen</w:t>
            </w:r>
          </w:p>
        </w:tc>
      </w:tr>
      <w:tr w:rsidR="00B522CD" w:rsidRPr="00C92665" w:rsidTr="00635994">
        <w:trPr>
          <w:trHeight w:val="1701"/>
        </w:trPr>
        <w:tc>
          <w:tcPr>
            <w:tcW w:w="833" w:type="pct"/>
          </w:tcPr>
          <w:p w:rsidR="00B522CD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</w:p>
        </w:tc>
        <w:tc>
          <w:tcPr>
            <w:tcW w:w="833" w:type="pct"/>
          </w:tcPr>
          <w:p w:rsidR="00B522CD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3" w:type="pct"/>
          </w:tcPr>
          <w:p w:rsidR="00B522CD" w:rsidRDefault="00B522CD" w:rsidP="00635994">
            <w:pPr>
              <w:autoSpaceDE w:val="0"/>
              <w:autoSpaceDN w:val="0"/>
              <w:adjustRightInd w:val="0"/>
              <w:rPr>
                <w:sz w:val="19"/>
                <w:szCs w:val="19"/>
                <w:u w:val="single"/>
              </w:rPr>
            </w:pPr>
            <w:r w:rsidRPr="008361C2">
              <w:rPr>
                <w:sz w:val="19"/>
                <w:szCs w:val="19"/>
                <w:u w:val="single"/>
              </w:rPr>
              <w:t>Jahrgangsstufe/Fach</w:t>
            </w:r>
          </w:p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rFonts w:cs="Calibri"/>
                <w:sz w:val="19"/>
                <w:szCs w:val="19"/>
                <w:u w:color="0070C0"/>
              </w:rPr>
            </w:pP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color="00B050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</w:tr>
      <w:tr w:rsidR="00B522CD" w:rsidRPr="00C92665" w:rsidTr="00635994">
        <w:trPr>
          <w:trHeight w:val="107"/>
        </w:trPr>
        <w:tc>
          <w:tcPr>
            <w:tcW w:w="833" w:type="pct"/>
            <w:shd w:val="clear" w:color="auto" w:fill="D4ECBA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1.2 Digitale Werkzeuge</w:t>
            </w:r>
          </w:p>
        </w:tc>
        <w:tc>
          <w:tcPr>
            <w:tcW w:w="833" w:type="pct"/>
            <w:shd w:val="clear" w:color="auto" w:fill="79DCFF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2.2 Informationsauswertung</w:t>
            </w:r>
          </w:p>
        </w:tc>
        <w:tc>
          <w:tcPr>
            <w:tcW w:w="833" w:type="pct"/>
            <w:shd w:val="clear" w:color="auto" w:fill="7F9ED7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3.2 Kommunikations- und Kooperationsregeln</w:t>
            </w:r>
          </w:p>
        </w:tc>
        <w:tc>
          <w:tcPr>
            <w:tcW w:w="833" w:type="pct"/>
            <w:shd w:val="clear" w:color="auto" w:fill="F87CEF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4.2 Gestaltungsmittel</w:t>
            </w:r>
          </w:p>
        </w:tc>
        <w:tc>
          <w:tcPr>
            <w:tcW w:w="834" w:type="pct"/>
            <w:shd w:val="clear" w:color="auto" w:fill="FF7D7D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  <w:highlight w:val="yellow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5.2 Meinungsbildung</w:t>
            </w:r>
          </w:p>
        </w:tc>
        <w:tc>
          <w:tcPr>
            <w:tcW w:w="834" w:type="pct"/>
            <w:shd w:val="clear" w:color="auto" w:fill="FFE389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6.2 Algorithmen erkennen</w:t>
            </w:r>
          </w:p>
        </w:tc>
      </w:tr>
      <w:tr w:rsidR="00B522CD" w:rsidRPr="00C92665" w:rsidTr="00635994">
        <w:trPr>
          <w:trHeight w:val="1701"/>
        </w:trPr>
        <w:tc>
          <w:tcPr>
            <w:tcW w:w="833" w:type="pct"/>
          </w:tcPr>
          <w:p w:rsidR="00B522CD" w:rsidRPr="00DE4D98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sz w:val="19"/>
                <w:szCs w:val="19"/>
              </w:rPr>
              <w:t>Verschiedene digitale Werkzeuge und deren Funktionsumfang kennen, auswählen sowie diese kreativ, reflektiert und zielgerichtet einsetzen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Themenrelevante Informationen und Daten aus Medienangeboten filtern, strukturieren, umwandeln und aufbereiten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Regeln für digitale Kommunikation und Kooperation kennen, formulieren und einhalten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Gestaltungsmittel von Medienprodukten kennen, reflektiert anwenden sowie hinsichtlich ihrer Qualität, Wirkung und Aussageabsicht beurteilen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b/>
                <w:sz w:val="19"/>
                <w:szCs w:val="19"/>
              </w:rPr>
            </w:pPr>
            <w:r w:rsidRPr="00C92665">
              <w:rPr>
                <w:rFonts w:cstheme="minorHAnsi"/>
                <w:sz w:val="19"/>
                <w:szCs w:val="19"/>
              </w:rPr>
              <w:t>Die interessengeleitete Setzung und Verbreitung von Themen in</w:t>
            </w:r>
            <w:r w:rsidRPr="00C92665">
              <w:rPr>
                <w:sz w:val="19"/>
                <w:szCs w:val="19"/>
              </w:rPr>
              <w:t xml:space="preserve"> Medien erkennen sowie in Bezug auf die Meinungsbildung </w:t>
            </w:r>
            <w:r w:rsidRPr="00C92665">
              <w:rPr>
                <w:rFonts w:cstheme="minorHAnsi"/>
                <w:sz w:val="19"/>
                <w:szCs w:val="19"/>
              </w:rPr>
              <w:t>beurteilen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rFonts w:cs="Calibri"/>
                <w:b/>
                <w:sz w:val="19"/>
                <w:szCs w:val="19"/>
              </w:rPr>
            </w:pPr>
            <w:r w:rsidRPr="00C92665">
              <w:rPr>
                <w:rFonts w:cs="Calibri"/>
                <w:sz w:val="19"/>
                <w:szCs w:val="19"/>
              </w:rPr>
              <w:t>Algorithmische Muster und Strukturen in verschiedenen Kontexten erkennen, nachvollziehen und reflektieren</w:t>
            </w:r>
          </w:p>
        </w:tc>
      </w:tr>
      <w:tr w:rsidR="00B522CD" w:rsidRPr="00C92665" w:rsidTr="00635994">
        <w:trPr>
          <w:trHeight w:val="1701"/>
        </w:trPr>
        <w:tc>
          <w:tcPr>
            <w:tcW w:w="833" w:type="pct"/>
          </w:tcPr>
          <w:p w:rsidR="00B522CD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</w:p>
        </w:tc>
        <w:tc>
          <w:tcPr>
            <w:tcW w:w="833" w:type="pct"/>
          </w:tcPr>
          <w:p w:rsidR="00B522CD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rFonts w:cs="Calibri"/>
                <w:sz w:val="19"/>
                <w:szCs w:val="19"/>
                <w:u w:color="0070C0"/>
              </w:rPr>
            </w:pPr>
            <w:r w:rsidRPr="008361C2">
              <w:rPr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color="00B050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</w:tr>
      <w:tr w:rsidR="00B522CD" w:rsidRPr="00C92665" w:rsidTr="00635994">
        <w:trPr>
          <w:trHeight w:val="134"/>
        </w:trPr>
        <w:tc>
          <w:tcPr>
            <w:tcW w:w="833" w:type="pct"/>
            <w:shd w:val="clear" w:color="auto" w:fill="D4ECBA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lastRenderedPageBreak/>
              <w:t>1.3 Datenorganisation</w:t>
            </w:r>
          </w:p>
        </w:tc>
        <w:tc>
          <w:tcPr>
            <w:tcW w:w="833" w:type="pct"/>
            <w:shd w:val="clear" w:color="auto" w:fill="79DCFF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2.3 Informationsbewertung</w:t>
            </w:r>
          </w:p>
        </w:tc>
        <w:tc>
          <w:tcPr>
            <w:tcW w:w="833" w:type="pct"/>
            <w:shd w:val="clear" w:color="auto" w:fill="7F9ED7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3.3 Kommunikation und Kooperation in der Gesellschaft</w:t>
            </w:r>
          </w:p>
        </w:tc>
        <w:tc>
          <w:tcPr>
            <w:tcW w:w="833" w:type="pct"/>
            <w:shd w:val="clear" w:color="auto" w:fill="F87CEF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4.3 Quellendokumentation</w:t>
            </w:r>
          </w:p>
        </w:tc>
        <w:tc>
          <w:tcPr>
            <w:tcW w:w="834" w:type="pct"/>
            <w:shd w:val="clear" w:color="auto" w:fill="FF7D7D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5.3 Identitätsbildung</w:t>
            </w:r>
          </w:p>
        </w:tc>
        <w:tc>
          <w:tcPr>
            <w:tcW w:w="834" w:type="pct"/>
            <w:shd w:val="clear" w:color="auto" w:fill="FFE389"/>
          </w:tcPr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rFonts w:cs="Calibri"/>
                <w:sz w:val="19"/>
                <w:szCs w:val="19"/>
              </w:rPr>
            </w:pPr>
            <w:r w:rsidRPr="00C92665">
              <w:rPr>
                <w:sz w:val="19"/>
                <w:szCs w:val="19"/>
              </w:rPr>
              <w:t>6.3 Modellieren und Programmieren</w:t>
            </w:r>
          </w:p>
        </w:tc>
      </w:tr>
      <w:tr w:rsidR="00B522CD" w:rsidRPr="00C92665" w:rsidTr="00635994">
        <w:trPr>
          <w:trHeight w:val="1701"/>
        </w:trPr>
        <w:tc>
          <w:tcPr>
            <w:tcW w:w="833" w:type="pct"/>
          </w:tcPr>
          <w:p w:rsidR="00B522CD" w:rsidRPr="008361C2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  <w:u w:color="00B050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  <w:u w:color="00B050"/>
              </w:rPr>
              <w:t>Informationen und Daten sicher speichern, wiederfinden und von verschiedenen Orten abrufen; Informationen und Daten zusammenfassen, organisieren und strukturiert aufbewahren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rFonts w:cs="Calibri"/>
                <w:b/>
                <w:sz w:val="19"/>
                <w:szCs w:val="19"/>
                <w:u w:color="00B050"/>
              </w:rPr>
            </w:pPr>
            <w:r w:rsidRPr="00C92665">
              <w:rPr>
                <w:rFonts w:cs="Calibri"/>
                <w:sz w:val="19"/>
                <w:szCs w:val="19"/>
                <w:u w:color="00B050"/>
              </w:rPr>
              <w:t>Informationen, Daten und ihre Quellen sowie dahinterliegende Strategien und Absichten erkennen und kritisch bewerten</w:t>
            </w:r>
          </w:p>
        </w:tc>
        <w:tc>
          <w:tcPr>
            <w:tcW w:w="833" w:type="pct"/>
          </w:tcPr>
          <w:p w:rsidR="00B522CD" w:rsidRPr="00DE4D98" w:rsidRDefault="00B522CD" w:rsidP="00635994">
            <w:pPr>
              <w:pStyle w:val="Default"/>
              <w:rPr>
                <w:rFonts w:asciiTheme="minorHAnsi" w:hAnsiTheme="minorHAnsi"/>
                <w:bCs/>
                <w:color w:val="auto"/>
                <w:sz w:val="19"/>
                <w:szCs w:val="19"/>
                <w:u w:color="00B050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  <w:u w:color="00B050"/>
              </w:rPr>
              <w:t>Kommunikations- und Kooperationsprozesse im Sinne einer aktiven Teilhabe an der Gesellschaft gestalten und reflektieren; ethische Grundsätze sowie kulturell-gesellschaftliche Normen beachten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b/>
                <w:sz w:val="19"/>
                <w:szCs w:val="19"/>
              </w:rPr>
            </w:pPr>
            <w:r w:rsidRPr="00C92665">
              <w:rPr>
                <w:rFonts w:cs="Calibri"/>
                <w:sz w:val="19"/>
                <w:szCs w:val="19"/>
              </w:rPr>
              <w:t xml:space="preserve">Standards der Quellenangaben </w:t>
            </w:r>
            <w:r w:rsidRPr="00C92665">
              <w:rPr>
                <w:sz w:val="19"/>
                <w:szCs w:val="19"/>
              </w:rPr>
              <w:t>beim Produzieren und Präsentieren von eigenen und fremden Inhalten kennen und anwenden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Chancen und Herausforderungen von Medien für die Realitätswahrnehmung erkennen und analysieren sowie für die eigene Identitätsbildung nutzen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rPr>
                <w:rFonts w:cs="Calibri"/>
                <w:b/>
                <w:sz w:val="19"/>
                <w:szCs w:val="19"/>
                <w:u w:color="FF0000"/>
              </w:rPr>
            </w:pPr>
            <w:r w:rsidRPr="00C92665">
              <w:rPr>
                <w:rFonts w:cs="Calibri"/>
                <w:sz w:val="19"/>
                <w:szCs w:val="19"/>
                <w:u w:color="FF0000"/>
              </w:rPr>
              <w:t>Probleme formalisiert beschreiben, Problemlösestrategien entwickeln und dazu eine strukturierte, algorithmische Sequenz planen, diese auch durch Programmieren umsetzen und die gefundene Lösungsstrategie beurteilen</w:t>
            </w:r>
          </w:p>
        </w:tc>
      </w:tr>
      <w:tr w:rsidR="00B522CD" w:rsidRPr="00C92665" w:rsidTr="00635994">
        <w:trPr>
          <w:trHeight w:val="1701"/>
        </w:trPr>
        <w:tc>
          <w:tcPr>
            <w:tcW w:w="833" w:type="pct"/>
          </w:tcPr>
          <w:p w:rsidR="00B522CD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rFonts w:cs="Calibri"/>
                <w:sz w:val="19"/>
                <w:szCs w:val="19"/>
                <w:u w:color="0070C0"/>
              </w:rPr>
            </w:pPr>
            <w:r w:rsidRPr="008361C2">
              <w:rPr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color="00B050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</w:tr>
      <w:tr w:rsidR="00B522CD" w:rsidRPr="00C92665" w:rsidTr="00635994">
        <w:trPr>
          <w:trHeight w:val="224"/>
        </w:trPr>
        <w:tc>
          <w:tcPr>
            <w:tcW w:w="833" w:type="pct"/>
            <w:shd w:val="clear" w:color="auto" w:fill="D4ECBA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1.4 Datenschutz und Informationssicherheit</w:t>
            </w:r>
          </w:p>
        </w:tc>
        <w:tc>
          <w:tcPr>
            <w:tcW w:w="833" w:type="pct"/>
            <w:shd w:val="clear" w:color="auto" w:fill="79DCFF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bCs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2.4 Informationskritik</w:t>
            </w:r>
          </w:p>
        </w:tc>
        <w:tc>
          <w:tcPr>
            <w:tcW w:w="833" w:type="pct"/>
            <w:shd w:val="clear" w:color="auto" w:fill="7F9ED7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3.4 Cybergewalt und -kriminalität</w:t>
            </w:r>
          </w:p>
        </w:tc>
        <w:tc>
          <w:tcPr>
            <w:tcW w:w="833" w:type="pct"/>
            <w:shd w:val="clear" w:color="auto" w:fill="F87CEF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4.4 Rechtliche Grundlagen</w:t>
            </w:r>
          </w:p>
        </w:tc>
        <w:tc>
          <w:tcPr>
            <w:tcW w:w="834" w:type="pct"/>
            <w:shd w:val="clear" w:color="auto" w:fill="FF7D7D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5.4 Selbstregulierte Mediennutzung</w:t>
            </w:r>
          </w:p>
        </w:tc>
        <w:tc>
          <w:tcPr>
            <w:tcW w:w="834" w:type="pct"/>
            <w:shd w:val="clear" w:color="auto" w:fill="FFE389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6.4 Bedeutung von Algorithmen</w:t>
            </w:r>
          </w:p>
        </w:tc>
      </w:tr>
      <w:tr w:rsidR="00B522CD" w:rsidRPr="00C92665" w:rsidTr="00635994">
        <w:trPr>
          <w:trHeight w:val="1701"/>
        </w:trPr>
        <w:tc>
          <w:tcPr>
            <w:tcW w:w="833" w:type="pct"/>
          </w:tcPr>
          <w:p w:rsidR="00B522CD" w:rsidRPr="0077413F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Verantwortungsvoll mit persönlichen und fremden Daten umgehen, Datenschutz, Privatsphäre und Informationssicherheit beachten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Unangemessene und gefährdende Medieninhalte erkennen und hinsichtlich rechtlicher Grundlagen sowie gesellschaftlicher Normen und Werte einschätzen; Jugend- und Verbraucherschutz kennen und Hilfs- und Unterstützungsstrukturen nutzen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Persönliche, gesellschaftliche und wirtschaftliche Risiken und Auswirkungen von Cybergewalt und -kriminalität erkennen sowie Ansprechpartner und Reaktionsmöglichkeiten kennen und nutzen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Rechtliche Grundlagen des Persönlichkeits- (u. a. des Bildrechts), Urheber- und Nutzungsrechts (u. a. Lizenzen) überprüfen, bewerten und beachten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  <w:u w:color="0070C0"/>
              </w:rPr>
              <w:t>Medien und ihre Wirkungen beschreiben,</w:t>
            </w:r>
            <w:r w:rsidRPr="00C92665">
              <w:rPr>
                <w:rFonts w:asciiTheme="minorHAnsi" w:hAnsiTheme="minorHAnsi"/>
                <w:color w:val="auto"/>
                <w:sz w:val="19"/>
                <w:szCs w:val="19"/>
                <w:u w:color="000000"/>
              </w:rPr>
              <w:t xml:space="preserve"> kritisch reflektieren und deren Nutzung selbstverantwortlich </w:t>
            </w:r>
            <w:r w:rsidRPr="00C92665">
              <w:rPr>
                <w:rFonts w:asciiTheme="minorHAnsi" w:hAnsiTheme="minorHAnsi"/>
                <w:color w:val="auto"/>
                <w:sz w:val="19"/>
                <w:szCs w:val="19"/>
                <w:u w:color="0070C0"/>
              </w:rPr>
              <w:t>regulieren; andere bei ihrer Mediennutzung unterstützen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b/>
                <w:color w:val="auto"/>
                <w:sz w:val="19"/>
                <w:szCs w:val="19"/>
              </w:rPr>
            </w:pPr>
            <w:r w:rsidRPr="00C92665">
              <w:rPr>
                <w:rFonts w:asciiTheme="minorHAnsi" w:hAnsiTheme="minorHAnsi"/>
                <w:color w:val="auto"/>
                <w:sz w:val="19"/>
                <w:szCs w:val="19"/>
              </w:rPr>
              <w:t>Einflüsse von Algorithmen und Auswirkung der Automatisierung von Prozessen in der digitalen Welt beschreiben und reflektieren</w:t>
            </w:r>
          </w:p>
        </w:tc>
      </w:tr>
      <w:tr w:rsidR="00B522CD" w:rsidRPr="00C92665" w:rsidTr="00635994">
        <w:trPr>
          <w:trHeight w:val="1701"/>
        </w:trPr>
        <w:tc>
          <w:tcPr>
            <w:tcW w:w="833" w:type="pct"/>
          </w:tcPr>
          <w:p w:rsidR="00B522CD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</w:p>
        </w:tc>
        <w:tc>
          <w:tcPr>
            <w:tcW w:w="833" w:type="pct"/>
          </w:tcPr>
          <w:p w:rsidR="00B522CD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  <w:p w:rsidR="00B522CD" w:rsidRPr="00B522CD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</w:pPr>
          </w:p>
        </w:tc>
        <w:tc>
          <w:tcPr>
            <w:tcW w:w="833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3" w:type="pct"/>
          </w:tcPr>
          <w:p w:rsidR="00B522CD" w:rsidRPr="00C92665" w:rsidRDefault="00B522CD" w:rsidP="00635994">
            <w:pPr>
              <w:autoSpaceDE w:val="0"/>
              <w:autoSpaceDN w:val="0"/>
              <w:adjustRightInd w:val="0"/>
              <w:rPr>
                <w:rFonts w:cs="Calibri"/>
                <w:sz w:val="19"/>
                <w:szCs w:val="19"/>
                <w:u w:color="0070C0"/>
              </w:rPr>
            </w:pPr>
            <w:r w:rsidRPr="008361C2">
              <w:rPr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  <w:u w:color="00B050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  <w:tc>
          <w:tcPr>
            <w:tcW w:w="834" w:type="pct"/>
          </w:tcPr>
          <w:p w:rsidR="00B522CD" w:rsidRPr="00C92665" w:rsidRDefault="00B522CD" w:rsidP="00635994">
            <w:pPr>
              <w:pStyle w:val="Default"/>
              <w:rPr>
                <w:rFonts w:asciiTheme="minorHAnsi" w:hAnsiTheme="minorHAnsi"/>
                <w:color w:val="auto"/>
                <w:sz w:val="19"/>
                <w:szCs w:val="19"/>
              </w:rPr>
            </w:pPr>
            <w:r w:rsidRPr="008361C2">
              <w:rPr>
                <w:rFonts w:asciiTheme="minorHAnsi" w:hAnsiTheme="minorHAnsi"/>
                <w:color w:val="auto"/>
                <w:sz w:val="19"/>
                <w:szCs w:val="19"/>
                <w:u w:val="single"/>
              </w:rPr>
              <w:t>Jahrgangsstufe/Fach</w:t>
            </w:r>
          </w:p>
        </w:tc>
      </w:tr>
    </w:tbl>
    <w:p w:rsidR="006665D5" w:rsidRPr="00B522CD" w:rsidRDefault="006665D5" w:rsidP="00B522CD">
      <w:pPr>
        <w:rPr>
          <w:sz w:val="2"/>
          <w:szCs w:val="2"/>
        </w:rPr>
      </w:pPr>
      <w:bookmarkStart w:id="0" w:name="_GoBack"/>
      <w:bookmarkEnd w:id="0"/>
    </w:p>
    <w:sectPr w:rsidR="006665D5" w:rsidRPr="00B522CD" w:rsidSect="00B522CD">
      <w:footerReference w:type="default" r:id="rId6"/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6FC5" w:rsidRDefault="00506FC5" w:rsidP="00B522CD">
      <w:pPr>
        <w:spacing w:after="0" w:line="240" w:lineRule="auto"/>
      </w:pPr>
      <w:r>
        <w:separator/>
      </w:r>
    </w:p>
  </w:endnote>
  <w:endnote w:type="continuationSeparator" w:id="0">
    <w:p w:rsidR="00506FC5" w:rsidRDefault="00506FC5" w:rsidP="00B52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FontAwesome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2CD" w:rsidRDefault="00B522CD">
    <w:pPr>
      <w:pStyle w:val="Fuzeile"/>
    </w:pPr>
    <w:r>
      <w:rPr>
        <w:noProof/>
      </w:rPr>
      <w:drawing>
        <wp:inline distT="0" distB="0" distL="0" distR="0">
          <wp:extent cx="617097" cy="21600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-by-nc_icon.sv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097" cy="21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Katharina Mowitz </w:t>
    </w:r>
    <w:r>
      <w:rPr>
        <w:rFonts w:ascii="Segoe MDL2 Assets" w:hAnsi="Segoe MDL2 Assets"/>
      </w:rPr>
      <w:t></w:t>
    </w:r>
    <w:r>
      <w:t xml:space="preserve"> </w:t>
    </w:r>
    <w:proofErr w:type="spellStart"/>
    <w:proofErr w:type="gramStart"/>
    <w:r>
      <w:t>primar.blog</w:t>
    </w:r>
    <w:proofErr w:type="spellEnd"/>
    <w:proofErr w:type="gramEnd"/>
    <w:r>
      <w:t xml:space="preserve"> </w:t>
    </w:r>
    <w:r>
      <w:rPr>
        <w:rFonts w:ascii="FontAwesome" w:hAnsi="FontAwesome"/>
      </w:rPr>
      <w:t></w:t>
    </w:r>
    <w:r>
      <w:t xml:space="preserve"> @</w:t>
    </w:r>
    <w:proofErr w:type="spellStart"/>
    <w:r>
      <w:t>MowitzKa</w:t>
    </w:r>
    <w:proofErr w:type="spellEnd"/>
    <w:r>
      <w:t xml:space="preserve"> #</w:t>
    </w:r>
    <w:proofErr w:type="spellStart"/>
    <w:r>
      <w:t>twitterlehrerzimmer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6FC5" w:rsidRDefault="00506FC5" w:rsidP="00B522CD">
      <w:pPr>
        <w:spacing w:after="0" w:line="240" w:lineRule="auto"/>
      </w:pPr>
      <w:r>
        <w:separator/>
      </w:r>
    </w:p>
  </w:footnote>
  <w:footnote w:type="continuationSeparator" w:id="0">
    <w:p w:rsidR="00506FC5" w:rsidRDefault="00506FC5" w:rsidP="00B522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2CD"/>
    <w:rsid w:val="00506FC5"/>
    <w:rsid w:val="006665D5"/>
    <w:rsid w:val="00B5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8F8A7"/>
  <w15:chartTrackingRefBased/>
  <w15:docId w15:val="{2A879DC0-5B11-4941-B86C-3E0F570BE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522C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52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522C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B522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22CD"/>
  </w:style>
  <w:style w:type="paragraph" w:styleId="Fuzeile">
    <w:name w:val="footer"/>
    <w:basedOn w:val="Standard"/>
    <w:link w:val="FuzeileZchn"/>
    <w:uiPriority w:val="99"/>
    <w:unhideWhenUsed/>
    <w:rsid w:val="00B522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2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660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</dc:creator>
  <cp:keywords/>
  <dc:description/>
  <cp:lastModifiedBy>Katha</cp:lastModifiedBy>
  <cp:revision>1</cp:revision>
  <dcterms:created xsi:type="dcterms:W3CDTF">2019-03-09T19:34:00Z</dcterms:created>
  <dcterms:modified xsi:type="dcterms:W3CDTF">2019-03-09T19:41:00Z</dcterms:modified>
</cp:coreProperties>
</file>